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13690B" w:rsidRPr="0013690B" w:rsidTr="0013690B">
        <w:tc>
          <w:tcPr>
            <w:tcW w:w="5000" w:type="pct"/>
            <w:shd w:val="clear" w:color="auto" w:fill="EEEEEE"/>
            <w:hideMark/>
          </w:tcPr>
          <w:p w:rsidR="0013690B" w:rsidRPr="0013690B" w:rsidRDefault="0013690B" w:rsidP="005C645E">
            <w:pPr>
              <w:spacing w:after="0" w:line="240" w:lineRule="auto"/>
              <w:ind w:left="4350"/>
              <w:rPr>
                <w:rFonts w:ascii="Tahoma" w:eastAsia="Times New Roman" w:hAnsi="Tahoma" w:cs="Tahoma"/>
                <w:color w:val="808080"/>
                <w:sz w:val="17"/>
                <w:szCs w:val="17"/>
                <w:lang w:eastAsia="ru-RU"/>
              </w:rPr>
            </w:pPr>
          </w:p>
          <w:p w:rsidR="0013690B" w:rsidRDefault="0013690B" w:rsidP="005C645E">
            <w:pPr>
              <w:spacing w:before="100" w:beforeAutospacing="1" w:after="100" w:afterAutospacing="1" w:line="240" w:lineRule="auto"/>
              <w:ind w:left="43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4513"/>
                <w:sz w:val="30"/>
                <w:lang w:eastAsia="ru-RU"/>
              </w:rPr>
            </w:pPr>
          </w:p>
          <w:p w:rsidR="0013690B" w:rsidRPr="0024443E" w:rsidRDefault="0013690B" w:rsidP="005C645E">
            <w:pPr>
              <w:spacing w:before="100" w:beforeAutospacing="1" w:after="100" w:afterAutospacing="1" w:line="240" w:lineRule="auto"/>
              <w:ind w:left="4350"/>
              <w:rPr>
                <w:rFonts w:ascii="Tahoma" w:eastAsia="Times New Roman" w:hAnsi="Tahoma" w:cs="Tahoma"/>
                <w:color w:val="000000"/>
                <w:sz w:val="36"/>
                <w:szCs w:val="36"/>
                <w:lang w:eastAsia="ru-RU"/>
              </w:rPr>
            </w:pPr>
            <w:r w:rsidRPr="002444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4513"/>
                <w:sz w:val="36"/>
                <w:szCs w:val="36"/>
                <w:lang w:eastAsia="ru-RU"/>
              </w:rPr>
              <w:t>Меры социальной поддержки</w:t>
            </w:r>
          </w:p>
          <w:p w:rsidR="0013690B" w:rsidRPr="0013690B" w:rsidRDefault="0013690B" w:rsidP="005C645E">
            <w:pPr>
              <w:spacing w:before="100" w:beforeAutospacing="1" w:after="100" w:afterAutospacing="1" w:line="240" w:lineRule="auto"/>
              <w:ind w:left="435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 xml:space="preserve">Выплата ежемесячных денежных </w:t>
            </w:r>
            <w:r w:rsidR="00085042">
              <w:rPr>
                <w:noProof/>
                <w:lang w:eastAsia="ru-RU"/>
              </w:rPr>
              <w:drawing>
                <wp:inline distT="0" distB="0" distL="0" distR="0">
                  <wp:extent cx="4524375" cy="3390900"/>
                  <wp:effectExtent l="19050" t="0" r="9525" b="0"/>
                  <wp:docPr id="2" name="Рисунок 1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>компенсаций родителям детей, посещающих ДОУ.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 xml:space="preserve">Выплата денежной компенсации осуществляется </w:t>
            </w:r>
            <w:proofErr w:type="gramStart"/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>согласно</w:t>
            </w:r>
            <w:proofErr w:type="gramEnd"/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 xml:space="preserve"> Федерального закона от 29 декабря 2012 года. N 273-ФЗ "Об образовании в Российской Федерации", ст.65.п.5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lastRenderedPageBreak/>
              <w:t>присмотр и уход за детьми.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–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 xml:space="preserve"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lastRenderedPageBreak/>
              <w:t>образовательных организациях, находящихся на территории соответствующего субъекта Российской Федерации, на первого</w:t>
            </w:r>
            <w:proofErr w:type="gramEnd"/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</w:r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br/>
              <w:t>В соответствии с порядком назначения и выплаты компенсации расходов на содержание ребёнка в дошкольной образовательной организации (утв. приказом департамента образования Ярославской области от 8 ноября 2010 г. N 873/01-03)</w:t>
            </w:r>
            <w:proofErr w:type="gramStart"/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>.</w:t>
            </w:r>
            <w:proofErr w:type="gramEnd"/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>в</w:t>
            </w:r>
            <w:proofErr w:type="gramEnd"/>
            <w:r w:rsidRPr="0013690B">
              <w:rPr>
                <w:rFonts w:ascii="Tahoma" w:eastAsia="Times New Roman" w:hAnsi="Tahoma" w:cs="Tahoma"/>
                <w:color w:val="8B4513"/>
                <w:sz w:val="24"/>
                <w:szCs w:val="24"/>
                <w:lang w:eastAsia="ru-RU"/>
              </w:rPr>
              <w:t xml:space="preserve"> государственных и муниципальных детских садах размер компенсации на первого ребёнка составляет 20% внесённой родителями (законными представителями) родительской платы, на второго ребёнка – 50 %, на третьего ребёнка и последующих детей – 70 %.</w:t>
            </w:r>
          </w:p>
        </w:tc>
      </w:tr>
    </w:tbl>
    <w:p w:rsidR="00D76C23" w:rsidRDefault="00D76C23" w:rsidP="005C645E">
      <w:pPr>
        <w:shd w:val="clear" w:color="auto" w:fill="FFFFFF"/>
        <w:spacing w:after="0" w:line="240" w:lineRule="auto"/>
      </w:pPr>
    </w:p>
    <w:sectPr w:rsidR="00D76C23" w:rsidSect="00244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0B" w:rsidRDefault="0013690B" w:rsidP="0013690B">
      <w:pPr>
        <w:spacing w:after="0" w:line="240" w:lineRule="auto"/>
      </w:pPr>
      <w:r>
        <w:separator/>
      </w:r>
    </w:p>
  </w:endnote>
  <w:endnote w:type="continuationSeparator" w:id="0">
    <w:p w:rsidR="0013690B" w:rsidRDefault="0013690B" w:rsidP="0013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0B" w:rsidRDefault="001369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0B" w:rsidRDefault="0013690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0B" w:rsidRDefault="001369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0B" w:rsidRDefault="0013690B" w:rsidP="0013690B">
      <w:pPr>
        <w:spacing w:after="0" w:line="240" w:lineRule="auto"/>
      </w:pPr>
      <w:r>
        <w:separator/>
      </w:r>
    </w:p>
  </w:footnote>
  <w:footnote w:type="continuationSeparator" w:id="0">
    <w:p w:rsidR="0013690B" w:rsidRDefault="0013690B" w:rsidP="0013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0B" w:rsidRDefault="0013690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0B" w:rsidRDefault="0013690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0B" w:rsidRDefault="0013690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0B"/>
    <w:rsid w:val="00085042"/>
    <w:rsid w:val="001202AC"/>
    <w:rsid w:val="0013690B"/>
    <w:rsid w:val="001C4897"/>
    <w:rsid w:val="0024443E"/>
    <w:rsid w:val="005C645E"/>
    <w:rsid w:val="00617331"/>
    <w:rsid w:val="007B0C2B"/>
    <w:rsid w:val="009900FB"/>
    <w:rsid w:val="00A014D6"/>
    <w:rsid w:val="00C71927"/>
    <w:rsid w:val="00D76C23"/>
    <w:rsid w:val="00E969F4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9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3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690B"/>
  </w:style>
  <w:style w:type="paragraph" w:styleId="a9">
    <w:name w:val="footer"/>
    <w:basedOn w:val="a"/>
    <w:link w:val="aa"/>
    <w:uiPriority w:val="99"/>
    <w:semiHidden/>
    <w:unhideWhenUsed/>
    <w:rsid w:val="0013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6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2014-12-11T10:58:00Z</dcterms:created>
  <dcterms:modified xsi:type="dcterms:W3CDTF">2014-12-17T07:50:00Z</dcterms:modified>
</cp:coreProperties>
</file>