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E3" w:rsidRPr="003F65E3" w:rsidRDefault="003F65E3" w:rsidP="003F65E3">
      <w:pPr>
        <w:spacing w:after="0" w:line="16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Verdana" w:eastAsia="Times New Roman" w:hAnsi="Verdana" w:cs="Times New Roman"/>
          <w:b/>
          <w:bCs/>
          <w:color w:val="E74C3C"/>
          <w:sz w:val="19"/>
          <w:lang w:eastAsia="ru-RU"/>
        </w:rPr>
        <w:t>ОХРАНА И УКРЕПЛЕНИЕ ЗДОРОВЬЯ ДЕТЕЙ</w:t>
      </w:r>
    </w:p>
    <w:p w:rsidR="003F65E3" w:rsidRPr="003F65E3" w:rsidRDefault="003F65E3" w:rsidP="003F65E3">
      <w:pPr>
        <w:spacing w:after="0" w:line="16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ahoma, Verdana, Helvetica, san" w:eastAsia="Times New Roman" w:hAnsi="Tahoma, Verdana, Helvetica, san" w:cs="Times New Roman"/>
          <w:b/>
          <w:bCs/>
          <w:color w:val="B22222"/>
          <w:sz w:val="20"/>
          <w:lang w:eastAsia="ru-RU"/>
        </w:rPr>
        <w:t>Организация доступности объекта для инвалидов – форма обслуживания*</w:t>
      </w:r>
      <w:r w:rsidRPr="003F65E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lang w:eastAsia="ru-RU"/>
        </w:rPr>
        <w:t> </w:t>
      </w:r>
    </w:p>
    <w:p w:rsidR="003F65E3" w:rsidRPr="003F65E3" w:rsidRDefault="003F65E3" w:rsidP="003F65E3">
      <w:pPr>
        <w:spacing w:before="96" w:after="0" w:line="161" w:lineRule="atLeast"/>
        <w:ind w:right="48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       </w:t>
      </w:r>
    </w:p>
    <w:tbl>
      <w:tblPr>
        <w:tblW w:w="964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5745"/>
        <w:gridCol w:w="3215"/>
      </w:tblGrid>
      <w:tr w:rsidR="003F65E3" w:rsidRPr="003F65E3" w:rsidTr="003F65E3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Категория инвалидов</w:t>
            </w:r>
          </w:p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(вид нарушения)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Вариант организации доступности объект</w:t>
            </w:r>
            <w:proofErr w:type="gramStart"/>
            <w:r w:rsidRPr="003F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а</w:t>
            </w: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</w:t>
            </w:r>
            <w:proofErr w:type="gramEnd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формы обслуживания)*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Все категории инвалидов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 том числе инвалиды: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передвигающиеся</w:t>
            </w:r>
            <w:proofErr w:type="gramEnd"/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на креслах-колясках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ВДН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ДУ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ДУ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ДУ</w:t>
            </w:r>
          </w:p>
        </w:tc>
      </w:tr>
      <w:tr w:rsidR="003F65E3" w:rsidRPr="003F65E3" w:rsidTr="003F65E3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 нарушениями умственного развития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5E3" w:rsidRPr="003F65E3" w:rsidRDefault="003F65E3" w:rsidP="003F65E3">
            <w:pPr>
              <w:spacing w:after="0" w:line="1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</w:t>
            </w:r>
          </w:p>
        </w:tc>
      </w:tr>
    </w:tbl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ahoma, Verdana, Helvetica, san" w:eastAsia="Times New Roman" w:hAnsi="Tahoma, Verdana, Helvetica, san" w:cs="Times New Roman"/>
          <w:b/>
          <w:bCs/>
          <w:color w:val="B22222"/>
          <w:sz w:val="20"/>
          <w:lang w:eastAsia="ru-RU"/>
        </w:rPr>
        <w:t>*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 xml:space="preserve">Указывается один из уровней организации доступности объекта для инвалидов и других </w:t>
      </w:r>
      <w:proofErr w:type="spellStart"/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маломобильных</w:t>
      </w:r>
      <w:proofErr w:type="spellEnd"/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 xml:space="preserve"> групп населения:</w:t>
      </w:r>
    </w:p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А — доступность всех зон и помещений универсальная, объект доступен полностью;</w:t>
      </w:r>
    </w:p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Б</w:t>
      </w:r>
      <w:proofErr w:type="gramEnd"/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 xml:space="preserve"> — доступны специально выделенные участки и помещения;</w:t>
      </w:r>
    </w:p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ДУ — доступность условная, требуется дополнительная помощь сотрудника соответствующей организации; услуги предоставляются на дому; дистанционно;</w:t>
      </w:r>
    </w:p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ВНД — не организована доступность объекта.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7"/>
        <w:gridCol w:w="8978"/>
      </w:tblGrid>
      <w:tr w:rsidR="003F65E3" w:rsidRPr="003F65E3" w:rsidTr="003F65E3">
        <w:trPr>
          <w:trHeight w:val="628"/>
          <w:jc w:val="center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                       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Tahoma, Verdana, Helvetica, san" w:eastAsia="Times New Roman" w:hAnsi="Tahoma, Verdana, Helvetica, san" w:cs="Times New Roman"/>
                <w:b/>
                <w:bCs/>
                <w:color w:val="B22222"/>
                <w:sz w:val="18"/>
                <w:lang w:eastAsia="ru-RU"/>
              </w:rPr>
              <w:t>Состояние доступности основных  структурно-функциональных зон</w:t>
            </w:r>
          </w:p>
          <w:tbl>
            <w:tblPr>
              <w:tblW w:w="8910" w:type="dxa"/>
              <w:tblInd w:w="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7"/>
              <w:gridCol w:w="5463"/>
              <w:gridCol w:w="2970"/>
            </w:tblGrid>
            <w:tr w:rsidR="003F65E3" w:rsidRPr="003F65E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№</w:t>
                  </w:r>
                </w:p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proofErr w:type="spellStart"/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 xml:space="preserve">Основные 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структурно-функционально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 xml:space="preserve"> — структурные зоны</w:t>
                  </w:r>
                </w:p>
              </w:tc>
              <w:tc>
                <w:tcPr>
                  <w:tcW w:w="2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состояние доступности, в том числе для основных категорий инвалидов**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Территория прилегающая к здани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ю(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 xml:space="preserve"> участок)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ДП – В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Вхо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д(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входы в здание)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ДЧ-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В(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О, С, Г, У)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Путь, пути движения внутри здани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я(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 xml:space="preserve"> в том числе пути эвакуации)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ДЧ-И (О, С, Г, У)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Зона целевого назначения здания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П-И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 xml:space="preserve"> (О, С, Г, У)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Санитарно — гигиенические учреждения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ДЧ-И (О, С, Г, У)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Система информации и связ</w:t>
                  </w:r>
                  <w:proofErr w:type="gramStart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и(</w:t>
                  </w:r>
                  <w:proofErr w:type="gramEnd"/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 xml:space="preserve"> на всех зонах)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lang w:eastAsia="ru-RU"/>
                    </w:rPr>
                    <w:t>ДП-И (О, Г, У)</w:t>
                  </w:r>
                </w:p>
              </w:tc>
            </w:tr>
            <w:tr w:rsidR="003F65E3" w:rsidRPr="003F65E3">
              <w:tc>
                <w:tcPr>
                  <w:tcW w:w="4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5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Пути движения к объекту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F65E3" w:rsidRPr="003F65E3" w:rsidRDefault="003F65E3" w:rsidP="003F65E3">
                  <w:pPr>
                    <w:spacing w:after="0" w:line="161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3F65E3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ДУ</w:t>
                  </w:r>
                </w:p>
              </w:tc>
            </w:tr>
          </w:tbl>
          <w:p w:rsidR="003F65E3" w:rsidRPr="003F65E3" w:rsidRDefault="003F65E3" w:rsidP="003F65E3">
            <w:pPr>
              <w:spacing w:after="0" w:line="161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F65E3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CB205A" w:rsidRDefault="003F65E3" w:rsidP="003F65E3">
      <w:pPr>
        <w:spacing w:after="0" w:line="1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</w:pP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**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Указывается: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</w:t>
      </w:r>
      <w:proofErr w:type="gramStart"/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ДП-В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–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доступно полностью всем;  </w:t>
      </w: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ДП-И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(К, О, С, Г, У) – доступно полностью избирательно (указать категории инвалидов); </w:t>
      </w: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ДЧ-В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–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доступно частично всем; </w:t>
      </w: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ДЧ-И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(К, О, С, Г, У) – доступно частично избирательно (указать категории инвалидов); </w:t>
      </w: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ДУ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–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доступно условно, </w:t>
      </w:r>
      <w:r w:rsidRPr="003F65E3">
        <w:rPr>
          <w:rFonts w:ascii="Tahoma, Verdana, Helvetica, san" w:eastAsia="Times New Roman" w:hAnsi="Tahoma, Verdana, Helvetica, san" w:cs="Times New Roman"/>
          <w:b/>
          <w:bCs/>
          <w:color w:val="000000"/>
          <w:sz w:val="12"/>
          <w:lang w:eastAsia="ru-RU"/>
        </w:rPr>
        <w:t>ВНД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– </w:t>
      </w:r>
      <w:r w:rsidRPr="003F65E3">
        <w:rPr>
          <w:rFonts w:ascii="Tahoma, Verdana, Helvetica, san" w:eastAsia="Times New Roman" w:hAnsi="Tahoma, Verdana, Helvetica, san" w:cs="Times New Roman"/>
          <w:color w:val="000000"/>
          <w:sz w:val="12"/>
          <w:szCs w:val="12"/>
          <w:bdr w:val="none" w:sz="0" w:space="0" w:color="auto" w:frame="1"/>
          <w:lang w:eastAsia="ru-RU"/>
        </w:rPr>
        <w:t>временно недоступно</w:t>
      </w: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 </w:t>
      </w:r>
      <w:proofErr w:type="gramEnd"/>
    </w:p>
    <w:p w:rsidR="00CB205A" w:rsidRDefault="003F65E3" w:rsidP="003F65E3">
      <w:pPr>
        <w:spacing w:after="0" w:line="1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</w:pP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 </w:t>
      </w:r>
    </w:p>
    <w:p w:rsidR="00CB205A" w:rsidRDefault="003F65E3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 w:rsidRPr="003F65E3">
        <w:rPr>
          <w:color w:val="000000"/>
          <w:sz w:val="12"/>
          <w:szCs w:val="12"/>
          <w:bdr w:val="none" w:sz="0" w:space="0" w:color="auto" w:frame="1"/>
        </w:rPr>
        <w:t>                   </w:t>
      </w:r>
      <w:r w:rsidR="00CB205A"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1. Первичную медико-санитарную помощь воспитанникам осуществляют органы исполнительной власти в сфере здравоохранения.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2. Организация питания детей осуществляется согласно новым санитарным правилам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СанПиН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2,413049-13 Питание четырехразовое, составлено 10-и дневное меню, утвержденное руководителем МДОУ, разработаны  технологические карты согласно методическим рекомендациям департамента образования "Питание детей в дошкольных организациях Ярославской области" от 08.12.2010г.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3. Температурный режим во всех помещениях МДОУ и уровни естественного и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исскуственного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освещения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соответсвуют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санитарно-эпидимиологическим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требованиям.    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Режим дня соответствует возрастным особенностям воспитанников.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4. С воспитанниками старшего дошкольного возраста проводятся занятия по ОБЖ</w:t>
      </w:r>
      <w:proofErr w:type="gram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а также в режимных моментах проигрываются типичные практически ситуации. Вопросы безопасности жизнедеятельности воспитанников рассматриваются на педсоветах, родительских собраниях, издаются памятки, советы по пропаганде и обучению здорового образа жизни. Соблюдаются инструкции по охране жизни и здоровья воспитанников, правила перевозки детей, техника безопасности при проведении массовых культурных и спортивных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мепроприятий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5. Для профилактики заболевания и оздоровления воспитанников созданы все необходимые условия: организованы ежедневные прогулки 2 раза в день продолжительностью от 3 до 4 часов, ежедневные закаливающие мероприятия, утренняя гимнастика, занятия физической культурой в помещении и на воздухе,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физкульминутки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, подвижные игры, ритмическая гимнастика. В случае заболевания больные дети или дети с подозрением на заболевание в МДОУ не принимаются. </w:t>
      </w:r>
      <w:proofErr w:type="gram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Заболевшие</w:t>
      </w:r>
      <w:proofErr w:type="gram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в течение дня  изолируются в медкабинет до прихода родителей.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6. </w:t>
      </w:r>
      <w:proofErr w:type="gram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В соответствии с законодательством Российской Федерации от 21 декабря 2012 года № 13464 воспитанники детских садов проходят ежегодные медицинские осмотры: предварительный медицинский осмотр воспитанникам проводят при поступлении в детский сад, профилактический осмотр детям проводят в установленные возрастные периоды в целях раннего выявления патологических состояний, периодический осмотр проводят узкие специалисты в целях своевременного выявления начальных форм заболеваний, заключительный диспансерный осмотр проводят воспитанникам</w:t>
      </w:r>
      <w:proofErr w:type="gram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перед школой в условиях детской поликлиники.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7. С целью запрещения курения, употребления алкогольных напитков и наркотических сре</w:t>
      </w:r>
      <w:proofErr w:type="gram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дств пр</w:t>
      </w:r>
      <w:proofErr w:type="gram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оводятся профилактические беседы с детьми и их родителями, выпускаются  памятки   и устанавливаются наглядные запретные знаки.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8. Для обеспечения безопасности воспитанников во время пребывания в детском саду  ведется видеонаблюдение, у каждого входа   въездные ворота закрыты на замок.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9. С целью профилактики несчастных случаев территория дошкольной образовательной организации ограждена забором и полосой зеленых насаждений, ежедневно на отсутствие вредных веществ и опасных предметов.   В группах мебель подобрана по возрасту, стеллажи для игрушек, полки под полотенце, шкафы прикреплены к полу и стенам для создания неподвижности. С родителями и детьми проводятся беседы о здоровом образе жизни, профилактике травматизма, инфекционных заболеваниях выпускаются памятки.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10. Санитарно-противоэпидемические и профилактические мероприятия проводятся согласно </w:t>
      </w:r>
      <w:proofErr w:type="spellStart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СанПиН</w:t>
      </w:r>
      <w:proofErr w:type="spellEnd"/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2.4.1.3049-13. Все помещения убираются влажным способом с применением моющих средств. При неблагоприятной эпидемиологической ситуации применяются дезинфицирующие средства, которые закуплены в достаточном количестве. Заключены договора с СЭС по дезинсекции и дератизации. </w:t>
      </w:r>
    </w:p>
    <w:p w:rsidR="00CB205A" w:rsidRDefault="00CB205A" w:rsidP="00CB205A">
      <w:pPr>
        <w:pStyle w:val="textbody"/>
        <w:spacing w:before="0" w:beforeAutospacing="0" w:after="0" w:afterAutospacing="0" w:line="161" w:lineRule="atLeast"/>
        <w:textAlignment w:val="baseline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5"/>
          <w:szCs w:val="15"/>
          <w:bdr w:val="none" w:sz="0" w:space="0" w:color="auto" w:frame="1"/>
          <w:shd w:val="clear" w:color="auto" w:fill="FFFFFF"/>
        </w:rPr>
        <w:t>Все  сотрудники проходят медицинский осмотр 1 раз в год.</w:t>
      </w:r>
    </w:p>
    <w:p w:rsidR="003F65E3" w:rsidRPr="003F65E3" w:rsidRDefault="003F65E3" w:rsidP="003F65E3">
      <w:pPr>
        <w:spacing w:after="0" w:line="161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F65E3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                   </w:t>
      </w:r>
    </w:p>
    <w:sectPr w:rsidR="003F65E3" w:rsidRPr="003F65E3" w:rsidSect="00FD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, Verdana, Helvetica, s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65E3"/>
    <w:rsid w:val="003F65E3"/>
    <w:rsid w:val="00746F08"/>
    <w:rsid w:val="00CB205A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3F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5E3"/>
    <w:rPr>
      <w:b/>
      <w:bCs/>
    </w:rPr>
  </w:style>
  <w:style w:type="character" w:customStyle="1" w:styleId="strongemphasis">
    <w:name w:val="strongemphasis"/>
    <w:basedOn w:val="a0"/>
    <w:rsid w:val="003F65E3"/>
  </w:style>
  <w:style w:type="paragraph" w:styleId="a4">
    <w:name w:val="Normal (Web)"/>
    <w:basedOn w:val="a"/>
    <w:uiPriority w:val="99"/>
    <w:semiHidden/>
    <w:unhideWhenUsed/>
    <w:rsid w:val="003F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3F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F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2021-09-03T12:53:00Z</dcterms:created>
  <dcterms:modified xsi:type="dcterms:W3CDTF">2021-09-03T12:55:00Z</dcterms:modified>
</cp:coreProperties>
</file>